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835"/>
        <w:gridCol w:w="608"/>
        <w:gridCol w:w="1033"/>
        <w:gridCol w:w="1195"/>
        <w:gridCol w:w="973"/>
        <w:gridCol w:w="864"/>
        <w:gridCol w:w="998"/>
        <w:gridCol w:w="351"/>
        <w:gridCol w:w="448"/>
        <w:gridCol w:w="448"/>
        <w:gridCol w:w="170"/>
        <w:gridCol w:w="278"/>
      </w:tblGrid>
      <w:tr>
        <w:trPr>
          <w:trHeight w:hRule="exact" w:val="277.83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72.05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10200.15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78.9261"/>
        </w:trPr>
        <w:tc>
          <w:tcPr>
            <w:tcW w:w="10200.15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420" w:lineRule="auto"/>
              <w:rPr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36"/>
                <w:szCs w:val="36"/>
              </w:rPr>
              <w:t> ПОЯСНЮВАЛЬНА ЗАПИСКА</w:t>
            </w:r>
          </w:p>
        </w:tc>
      </w:tr>
      <w:tr>
        <w:trPr>
          <w:trHeight w:hRule="exact" w:val="277.8299"/>
        </w:trPr>
        <w:tc>
          <w:tcPr>
            <w:tcW w:w="10200.15" w:type="dxa"/>
            <w:gridSpan w:val="1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дев'ять місяців 2020 року</w:t>
            </w:r>
          </w:p>
        </w:tc>
      </w:tr>
      <w:tr>
        <w:trPr>
          <w:trHeight w:hRule="exact" w:val="277.83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672.05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471.87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Установа</w:t>
            </w:r>
          </w:p>
        </w:tc>
        <w:tc>
          <w:tcPr>
            <w:tcW w:w="4672.05" w:type="dxa"/>
            <w:gridSpan w:val="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Відділ охорони здоров'я виконавчих органів Дрогобицької міської ради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02013024</w:t>
            </w:r>
          </w:p>
        </w:tc>
      </w:tr>
      <w:tr>
        <w:trPr>
          <w:trHeight w:hRule="exact" w:val="285.6209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Територія</w:t>
            </w:r>
          </w:p>
        </w:tc>
        <w:tc>
          <w:tcPr>
            <w:tcW w:w="4672.05" w:type="dxa"/>
            <w:gridSpan w:val="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Дрогобич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4610600000</w:t>
            </w:r>
          </w:p>
        </w:tc>
      </w:tr>
      <w:tr>
        <w:trPr>
          <w:trHeight w:hRule="exact" w:val="449.8203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Організаційно-правова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форма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господарювання</w:t>
            </w:r>
            <w:r>
              <w:rPr/>
              <w:t xml:space="preserve"> </w:t>
            </w:r>
          </w:p>
        </w:tc>
        <w:tc>
          <w:tcPr>
            <w:tcW w:w="4672.05" w:type="dxa"/>
            <w:gridSpan w:val="5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Орган місцевого самоврядування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343.7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420</w:t>
            </w:r>
          </w:p>
        </w:tc>
      </w:tr>
      <w:tr>
        <w:trPr>
          <w:trHeight w:hRule="exact" w:val="449.8199"/>
        </w:trPr>
        <w:tc>
          <w:tcPr>
            <w:tcW w:w="8856.45" w:type="dxa"/>
            <w:gridSpan w:val="8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Код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назва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типової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відомчої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класифікації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видатків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та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кредитування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місцевих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бюджетів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007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-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Орган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питань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охорони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здоров`я</w:t>
            </w:r>
            <w:r>
              <w:rPr/>
              <w:t xml:space="preserve"> </w:t>
            </w:r>
          </w:p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449.8199"/>
        </w:trPr>
        <w:tc>
          <w:tcPr>
            <w:tcW w:w="283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Періодичність: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квартальна</w:t>
            </w:r>
            <w:r>
              <w:rPr/>
              <w:t xml:space="preserve"> </w:t>
            </w: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(проміжна)</w:t>
            </w:r>
            <w:r>
              <w:rPr/>
              <w:t xml:space="preserve"> </w:t>
            </w:r>
          </w:p>
        </w:tc>
        <w:tc>
          <w:tcPr>
            <w:tcW w:w="4672.05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47.9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02.0851"/>
        </w:trPr>
        <w:tc>
          <w:tcPr>
            <w:tcW w:w="2835" w:type="dxa"/>
          </w:tcPr>
          <w:p/>
        </w:tc>
        <w:tc>
          <w:tcPr>
            <w:tcW w:w="608" w:type="dxa"/>
          </w:tcPr>
          <w:p/>
        </w:tc>
        <w:tc>
          <w:tcPr>
            <w:tcW w:w="1033" w:type="dxa"/>
          </w:tcPr>
          <w:p/>
        </w:tc>
        <w:tc>
          <w:tcPr>
            <w:tcW w:w="1195" w:type="dxa"/>
          </w:tcPr>
          <w:p/>
        </w:tc>
        <w:tc>
          <w:tcPr>
            <w:tcW w:w="973" w:type="dxa"/>
          </w:tcPr>
          <w:p/>
        </w:tc>
        <w:tc>
          <w:tcPr>
            <w:tcW w:w="864" w:type="dxa"/>
          </w:tcPr>
          <w:p/>
        </w:tc>
        <w:tc>
          <w:tcPr>
            <w:tcW w:w="998" w:type="dxa"/>
          </w:tcPr>
          <w:p/>
        </w:tc>
        <w:tc>
          <w:tcPr>
            <w:tcW w:w="351" w:type="dxa"/>
          </w:tcPr>
          <w:p/>
        </w:tc>
        <w:tc>
          <w:tcPr>
            <w:tcW w:w="448" w:type="dxa"/>
          </w:tcPr>
          <w:p/>
        </w:tc>
        <w:tc>
          <w:tcPr>
            <w:tcW w:w="448" w:type="dxa"/>
          </w:tcPr>
          <w:p/>
        </w:tc>
        <w:tc>
          <w:tcPr>
            <w:tcW w:w="170" w:type="dxa"/>
          </w:tcPr>
          <w:p/>
        </w:tc>
        <w:tc>
          <w:tcPr>
            <w:tcW w:w="278" w:type="dxa"/>
          </w:tcPr>
          <w:p/>
        </w:tc>
      </w:tr>
      <w:tr>
        <w:trPr>
          <w:trHeight w:hRule="exact" w:val="329.2799"/>
        </w:trPr>
        <w:tc>
          <w:tcPr>
            <w:tcW w:w="5670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Короткий опис основної діяльності установи</w:t>
            </w:r>
          </w:p>
        </w:tc>
        <w:tc>
          <w:tcPr>
            <w:tcW w:w="283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Найменування органу, якому підпорядкована установа</w:t>
            </w:r>
          </w:p>
        </w:tc>
        <w:tc>
          <w:tcPr>
            <w:tcW w:w="1701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2"/>
                <w:szCs w:val="12"/>
              </w:rPr>
              <w:t> Середня чисельність працівників</w:t>
            </w:r>
          </w:p>
        </w:tc>
      </w:tr>
      <w:tr>
        <w:trPr>
          <w:trHeight w:hRule="exact" w:val="166.6979"/>
        </w:trPr>
        <w:tc>
          <w:tcPr>
            <w:tcW w:w="5670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1</w:t>
            </w:r>
          </w:p>
        </w:tc>
        <w:tc>
          <w:tcPr>
            <w:tcW w:w="283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2</w:t>
            </w:r>
          </w:p>
        </w:tc>
        <w:tc>
          <w:tcPr>
            <w:tcW w:w="1701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20" w:lineRule="auto"/>
              <w:rPr>
                <w:sz w:val="10"/>
                <w:szCs w:val="10"/>
              </w:rPr>
            </w:pPr>
            <w:r>
              <w:rPr>
                <w:rFonts w:ascii="Times New Roman" w:hAnsi="Times New Roman" w:cs="Times New Roman"/>
                <w:color w:val="#000000"/>
                <w:sz w:val="10"/>
                <w:szCs w:val="10"/>
              </w:rPr>
              <w:t> 3</w:t>
            </w:r>
          </w:p>
        </w:tc>
      </w:tr>
      <w:tr>
        <w:trPr>
          <w:trHeight w:hRule="exact" w:val="2357.733"/>
        </w:trPr>
        <w:tc>
          <w:tcPr>
            <w:tcW w:w="5670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Відділ охорони здоров’я виконавчих органів Дрогобицької міської ради є  органом місцевого самоврядування. В органах статистики зареєстрований як суб’єкт комунальної власності та присвоєно код за ЄДРПОУ 02013024.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Метою відділу є забезпечення економічного та соціального розвитку лікувально – профілактичних закладів, що входять у його склад, здійснення керівництва, координації та контролю за їх діяльністю.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Структурними підрозділами відділу є апарат управління, інформаційно – аналітичний центр , бухгалтерія.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Бухгалтерія  обслуговує: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Апарат управління ( КПК 0710160)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Інформаційно – аналітичний центр ( КПК 0712151)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Медична бібліотека ( КПК 0714030).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У підпорядкуванню відділу знаходяться економічно та юридично самостійні комунальні некомерційні підприємства Дрогобицької міської ради: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Дрогобицькі міські лікарні №№1,3,5,міська дитяча лікарня, міська поліклініка, міський пологовий будинок, міська стоматологічна поліклініка, Стебницька міська лікарня.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Відділ проводить загальне фінансування на лікувальні заклади від фінансового управління Дрогобицької міської ради</w:t>
            </w:r>
          </w:p>
        </w:tc>
        <w:tc>
          <w:tcPr>
            <w:tcW w:w="283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Відділ охорони здоров’я виконавчих органів Дрогобицької міської ради діє на підставі Положення, затвердженого рішенням 55 Дрогобицької міської ради Сьомого скликання від 12.09.19 року №1923 .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Підпорядковується виконавчому комітету Дрогобицької міської ради</w:t>
            </w:r>
          </w:p>
        </w:tc>
        <w:tc>
          <w:tcPr>
            <w:tcW w:w="1701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чисельність складає  20,0 одиниць. Проведено скорочення штатної чисельності на 11,5 ставок</w:t>
            </w:r>
          </w:p>
        </w:tc>
      </w:tr>
      <w:tr>
        <w:trPr>
          <w:trHeight w:hRule="exact" w:val="277.8299"/>
        </w:trPr>
        <w:tc>
          <w:tcPr>
            <w:tcW w:w="2835" w:type="dxa"/>
          </w:tcPr>
          <w:p/>
        </w:tc>
        <w:tc>
          <w:tcPr>
            <w:tcW w:w="608" w:type="dxa"/>
          </w:tcPr>
          <w:p/>
        </w:tc>
        <w:tc>
          <w:tcPr>
            <w:tcW w:w="1033" w:type="dxa"/>
          </w:tcPr>
          <w:p/>
        </w:tc>
        <w:tc>
          <w:tcPr>
            <w:tcW w:w="1195" w:type="dxa"/>
          </w:tcPr>
          <w:p/>
        </w:tc>
        <w:tc>
          <w:tcPr>
            <w:tcW w:w="973" w:type="dxa"/>
          </w:tcPr>
          <w:p/>
        </w:tc>
        <w:tc>
          <w:tcPr>
            <w:tcW w:w="864" w:type="dxa"/>
          </w:tcPr>
          <w:p/>
        </w:tc>
        <w:tc>
          <w:tcPr>
            <w:tcW w:w="998" w:type="dxa"/>
          </w:tcPr>
          <w:p/>
        </w:tc>
        <w:tc>
          <w:tcPr>
            <w:tcW w:w="351" w:type="dxa"/>
          </w:tcPr>
          <w:p/>
        </w:tc>
        <w:tc>
          <w:tcPr>
            <w:tcW w:w="448" w:type="dxa"/>
          </w:tcPr>
          <w:p/>
        </w:tc>
        <w:tc>
          <w:tcPr>
            <w:tcW w:w="448" w:type="dxa"/>
          </w:tcPr>
          <w:p/>
        </w:tc>
        <w:tc>
          <w:tcPr>
            <w:tcW w:w="170" w:type="dxa"/>
          </w:tcPr>
          <w:p/>
        </w:tc>
        <w:tc>
          <w:tcPr>
            <w:tcW w:w="278" w:type="dxa"/>
          </w:tcPr>
          <w:p/>
        </w:tc>
      </w:tr>
      <w:tr>
        <w:trPr>
          <w:trHeight w:hRule="exact" w:val="465.402"/>
        </w:trPr>
        <w:tc>
          <w:tcPr>
            <w:tcW w:w="10206" w:type="dxa"/>
            <w:gridSpan w:val="1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Бухгалтерський облік ведеться згідно основ Бюджетного кодексу та інших нормативно – законодавчих актів , діючих на даний час.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Результати фінансової діяльності відображені в формах  бюджетної звітності.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                                                              Форма 2</w:t>
            </w:r>
          </w:p>
        </w:tc>
      </w:tr>
      <w:tr>
        <w:trPr>
          <w:trHeight w:hRule="exact" w:val="465.4007"/>
        </w:trPr>
        <w:tc>
          <w:tcPr>
            <w:tcW w:w="10206" w:type="dxa"/>
            <w:gridSpan w:val="1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Кошторисні призначення по КПК 0712151  на рік  складають    1955100,00 грн.  , на звітний період 1656200,00 грн., профінансовано 1477660,62 грн., касові видатки  складають 1477660,62 грн</w:t>
            </w:r>
          </w:p>
        </w:tc>
      </w:tr>
      <w:tr>
        <w:trPr>
          <w:trHeight w:hRule="exact" w:val="465.4025"/>
        </w:trPr>
        <w:tc>
          <w:tcPr>
            <w:tcW w:w="10206" w:type="dxa"/>
            <w:gridSpan w:val="1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Кошторисні призначення по КПК 0710160  на рік  складають    1255900,00 грн.  , на звітний період 784960,00 грн., профінансовано 775105,94 грн., касові видатки  складають 775105,94 грн</w:t>
            </w:r>
          </w:p>
        </w:tc>
      </w:tr>
      <w:tr>
        <w:trPr>
          <w:trHeight w:hRule="exact" w:val="465.4016"/>
        </w:trPr>
        <w:tc>
          <w:tcPr>
            <w:tcW w:w="10206" w:type="dxa"/>
            <w:gridSpan w:val="1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Кошторисні призначення по КПК 0714030  на рік  складають    184400,00 грн.  , на звітний період 131500,00грн., профінансовано 120338,31 грн., касові видатки  складають 120337,11 грн</w:t>
            </w:r>
          </w:p>
        </w:tc>
      </w:tr>
      <w:tr>
        <w:trPr>
          <w:trHeight w:hRule="exact" w:val="465.4025"/>
        </w:trPr>
        <w:tc>
          <w:tcPr>
            <w:tcW w:w="10206" w:type="dxa"/>
            <w:gridSpan w:val="1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Кошторисні призначення по КПК 0712144 ( відшкодування інсулінів) складають на рік 2159000,00 грн., касові видатки  складають  2151598,95 грн., залишок грошових коштів складає 46,47 грн</w:t>
            </w:r>
          </w:p>
        </w:tc>
      </w:tr>
      <w:tr>
        <w:trPr>
          <w:trHeight w:hRule="exact" w:val="465.4016"/>
        </w:trPr>
        <w:tc>
          <w:tcPr>
            <w:tcW w:w="10206" w:type="dxa"/>
            <w:gridSpan w:val="1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Кошторисні призначення по КПК 0712152 ( відшкодування інсулінів за рахунок коштів місцевого бюджету) складають на рік 125000,00 грн., касові видатки  складають  124943,79 грн</w:t>
            </w:r>
          </w:p>
        </w:tc>
      </w:tr>
      <w:tr>
        <w:trPr>
          <w:trHeight w:hRule="exact" w:val="240.0521"/>
        </w:trPr>
        <w:tc>
          <w:tcPr>
            <w:tcW w:w="10206" w:type="dxa"/>
            <w:gridSpan w:val="1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Форма4-3</w:t>
            </w:r>
          </w:p>
        </w:tc>
      </w:tr>
      <w:tr>
        <w:trPr>
          <w:trHeight w:hRule="exact" w:val="690.8991"/>
        </w:trPr>
        <w:tc>
          <w:tcPr>
            <w:tcW w:w="10206" w:type="dxa"/>
            <w:gridSpan w:val="1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На особовому рахунку знаходяться нерозподілені кошти  КПКВ 0717369 КЕКВ 3210 в сумі 5164878 грн по об’екту»   Реконструкція приймального відділення Комунального некомерційного підприємства "Дрогобицька міська лікарня №1" Дрогобицької міської ради на вулиці А.Шептицького, 9 в м. Дрогобич «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Форма7 мм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Дебіторська заборгованість на початок року   та на звітну дату відсутня.</w:t>
            </w:r>
          </w:p>
        </w:tc>
      </w:tr>
      <w:tr>
        <w:trPr>
          <w:trHeight w:hRule="exact" w:val="916.2512"/>
        </w:trPr>
        <w:tc>
          <w:tcPr>
            <w:tcW w:w="10206" w:type="dxa"/>
            <w:gridSpan w:val="1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 Кредиторська заборгованість  на початок року   відсутня. На звітну дату зареєстрована кредиторська заборгованість  по КПКВ 0710160 в сумі 47641,03 грн.,термін якої не настав в сумі 40024,59 грн та по КПКВ 0712151 в сумі 74818,64 грн.  виникла внаслідок зареєстрованої , але невиплаченої заробітної плати за ІІ половину вересня, термін якої не наступив(термін виплати 5-7 числа)</w:t>
            </w:r>
          </w:p>
        </w:tc>
      </w:tr>
      <w:tr>
        <w:trPr>
          <w:trHeight w:hRule="exact" w:val="240.0513"/>
        </w:trPr>
        <w:tc>
          <w:tcPr>
            <w:tcW w:w="10206" w:type="dxa"/>
            <w:gridSpan w:val="1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Форма  №1-дс Баланс </w:t>
            </w:r>
          </w:p>
        </w:tc>
      </w:tr>
      <w:tr>
        <w:trPr>
          <w:trHeight w:hRule="exact" w:val="690.8991"/>
        </w:trPr>
        <w:tc>
          <w:tcPr>
            <w:tcW w:w="10206" w:type="dxa"/>
            <w:gridSpan w:val="12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В   активі Балансу в р. 1161 відображені суми еквівалентів грошових коштів 293 грн.( лікарняні листи, марки), в пасиві Балансу  р. 1575 відображені сума вартості лікарняних листів 48 грн., що  є на залишку та не розподілені між установами.</w:t>
            </w:r>
          </w:p>
        </w:tc>
      </w:tr>
      <w:tr>
        <w:trPr>
          <w:trHeight w:hRule="exact" w:val="1166.886"/>
        </w:trPr>
        <w:tc>
          <w:tcPr>
            <w:tcW w:w="2835" w:type="dxa"/>
          </w:tcPr>
          <w:p/>
        </w:tc>
        <w:tc>
          <w:tcPr>
            <w:tcW w:w="608" w:type="dxa"/>
          </w:tcPr>
          <w:p/>
        </w:tc>
        <w:tc>
          <w:tcPr>
            <w:tcW w:w="1033" w:type="dxa"/>
          </w:tcPr>
          <w:p/>
        </w:tc>
        <w:tc>
          <w:tcPr>
            <w:tcW w:w="1195" w:type="dxa"/>
          </w:tcPr>
          <w:p/>
        </w:tc>
        <w:tc>
          <w:tcPr>
            <w:tcW w:w="973" w:type="dxa"/>
          </w:tcPr>
          <w:p/>
        </w:tc>
        <w:tc>
          <w:tcPr>
            <w:tcW w:w="864" w:type="dxa"/>
          </w:tcPr>
          <w:p/>
        </w:tc>
        <w:tc>
          <w:tcPr>
            <w:tcW w:w="998" w:type="dxa"/>
          </w:tcPr>
          <w:p/>
        </w:tc>
        <w:tc>
          <w:tcPr>
            <w:tcW w:w="351" w:type="dxa"/>
          </w:tcPr>
          <w:p/>
        </w:tc>
        <w:tc>
          <w:tcPr>
            <w:tcW w:w="1134" w:type="dxa"/>
            <w:gridSpan w:val="3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" w:type="dxa"/>
          </w:tcPr>
          <w:p/>
        </w:tc>
      </w:tr>
      <w:tr>
        <w:trPr>
          <w:trHeight w:hRule="exact" w:val="285.4746"/>
        </w:trPr>
        <w:tc>
          <w:tcPr>
            <w:tcW w:w="2835" w:type="dxa"/>
          </w:tcPr>
          <w:p/>
        </w:tc>
        <w:tc>
          <w:tcPr>
            <w:tcW w:w="608" w:type="dxa"/>
          </w:tcPr>
          <w:p/>
        </w:tc>
        <w:tc>
          <w:tcPr>
            <w:tcW w:w="1033" w:type="dxa"/>
          </w:tcPr>
          <w:p/>
        </w:tc>
        <w:tc>
          <w:tcPr>
            <w:tcW w:w="1195" w:type="dxa"/>
          </w:tcPr>
          <w:p/>
        </w:tc>
        <w:tc>
          <w:tcPr>
            <w:tcW w:w="973" w:type="dxa"/>
          </w:tcPr>
          <w:p/>
        </w:tc>
        <w:tc>
          <w:tcPr>
            <w:tcW w:w="864" w:type="dxa"/>
          </w:tcPr>
          <w:p/>
        </w:tc>
        <w:tc>
          <w:tcPr>
            <w:tcW w:w="998" w:type="dxa"/>
          </w:tcPr>
          <w:p/>
        </w:tc>
        <w:tc>
          <w:tcPr>
            <w:tcW w:w="351" w:type="dxa"/>
          </w:tcPr>
          <w:p/>
        </w:tc>
        <w:tc>
          <w:tcPr>
            <w:tcW w:w="448" w:type="dxa"/>
          </w:tcPr>
          <w:p/>
        </w:tc>
        <w:tc>
          <w:tcPr>
            <w:tcW w:w="448" w:type="dxa"/>
          </w:tcPr>
          <w:p/>
        </w:tc>
        <w:tc>
          <w:tcPr>
            <w:tcW w:w="170" w:type="dxa"/>
          </w:tcPr>
          <w:p/>
        </w:tc>
        <w:tc>
          <w:tcPr>
            <w:tcW w:w="278" w:type="dxa"/>
          </w:tcPr>
          <w:p/>
        </w:tc>
      </w:tr>
      <w:tr>
        <w:trPr>
          <w:trHeight w:hRule="exact" w:val="277.8304"/>
        </w:trPr>
        <w:tc>
          <w:tcPr>
            <w:tcW w:w="3442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202000000021355841</w:t>
            </w:r>
          </w:p>
        </w:tc>
        <w:tc>
          <w:tcPr>
            <w:tcW w:w="1032.7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67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805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758.05" w:type="dxa"/>
            <w:gridSpan w:val="6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2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992"/>
        <w:gridCol w:w="737"/>
        <w:gridCol w:w="1146"/>
        <w:gridCol w:w="203"/>
        <w:gridCol w:w="830"/>
        <w:gridCol w:w="520"/>
        <w:gridCol w:w="1349"/>
        <w:gridCol w:w="298"/>
        <w:gridCol w:w="805"/>
        <w:gridCol w:w="246"/>
        <w:gridCol w:w="1095"/>
        <w:gridCol w:w="255"/>
        <w:gridCol w:w="760"/>
        <w:gridCol w:w="403"/>
      </w:tblGrid>
      <w:tr>
        <w:trPr>
          <w:trHeight w:hRule="exact" w:val="690.9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В р. 1001  відображено збільшення первісної вартості основних засобів ( придбання токенів на суму 2895 грн. та інших необоротних матеріальних активів на суму 2628 грн), зменшення основних засобів за рахунок передачі бібліотечних фондів на суму 10590 грн</w:t>
            </w:r>
          </w:p>
        </w:tc>
      </w:tr>
      <w:tr>
        <w:trPr>
          <w:trHeight w:hRule="exact" w:val="240.051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що привело до зміни внесеного капіталу на суму 5067грн( р.1400)  та зносу( р.1002) на суму 2533 грн. </w:t>
            </w:r>
          </w:p>
        </w:tc>
      </w:tr>
      <w:tr>
        <w:trPr>
          <w:trHeight w:hRule="exact" w:val="240.051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Форма№ 2- дс « Звіт про фінансові результати»</w:t>
            </w:r>
          </w:p>
        </w:tc>
      </w:tr>
      <w:tr>
        <w:trPr>
          <w:trHeight w:hRule="exact" w:val="465.402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За рахунок  доходів звітного періоду 9809049(5164878 грн+4644171  грн.), що перевищують видатки звітного періоду( 4770791грн.), утворився профіцит за звітний період в сумі 5038258 грн.</w:t>
            </w:r>
          </w:p>
        </w:tc>
      </w:tr>
      <w:tr>
        <w:trPr>
          <w:trHeight w:hRule="exact" w:val="240.0509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Передача бібліотечних фондів та зносу проводилась за рахунок фінансового результату(10589,32-5294,66)</w:t>
            </w:r>
          </w:p>
        </w:tc>
      </w:tr>
      <w:tr>
        <w:trPr>
          <w:trHeight w:hRule="exact" w:val="465.4019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Відповідно до вищенаведеного, утворився   кредитовий фінансовий результат( за рахунок нерозподіленого залишку коштів) на звітну дату,що відображається по пасиву Балансу :</w:t>
            </w:r>
          </w:p>
        </w:tc>
      </w:tr>
      <w:tr>
        <w:trPr>
          <w:trHeight w:hRule="exact" w:val="240.051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4911849  =  -131703 +(9809049-4770791) +5294</w:t>
            </w:r>
          </w:p>
        </w:tc>
      </w:tr>
      <w:tr>
        <w:trPr>
          <w:trHeight w:hRule="exact" w:val="465.402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Протягом  звітного періоду установою були отримані медикаменти від обласних установ, які були передані підвідомчим установам:</w:t>
            </w:r>
          </w:p>
        </w:tc>
      </w:tr>
      <w:tr>
        <w:trPr>
          <w:trHeight w:hRule="exact" w:val="240.051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КЗ ЛОР « Обласна база спеціального медичного постачання»	Державний бюджет</w:t>
            </w:r>
          </w:p>
        </w:tc>
      </w:tr>
      <w:tr>
        <w:trPr>
          <w:trHeight w:hRule="exact" w:val="240.051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Гуманітарна допомога</w:t>
            </w:r>
          </w:p>
        </w:tc>
      </w:tr>
      <w:tr>
        <w:trPr>
          <w:trHeight w:hRule="exact" w:val="240.051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	288218,38</w:t>
            </w:r>
          </w:p>
        </w:tc>
      </w:tr>
      <w:tr>
        <w:trPr>
          <w:trHeight w:hRule="exact" w:val="240.0508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3413,44</w:t>
            </w:r>
          </w:p>
        </w:tc>
      </w:tr>
      <w:tr>
        <w:trPr>
          <w:trHeight w:hRule="exact" w:val="240.0508"/>
        </w:trPr>
        <w:tc>
          <w:tcPr>
            <w:tcW w:w="10206" w:type="dxa"/>
            <w:gridSpan w:val="15"/>
            <w:tcBorders>
</w:tcBorders>
            <w:shd w:val="clear" w:color="#000000" w:fill="#FFFFFF"/>
            <w:vAlign w:val="top"/>
            <w:tcMar>
              <w:top w:w="0" w:type="dxa"/>
              <w:left w:w="38" w:type="dxa"/>
              <w:bottom w:w="0" w:type="dxa"/>
              <w:right w:w="38" w:type="dxa"/>
            </w:tcMar>
          </w:tcPr>
          <w:p>
            <w:pPr>
              <w:jc w:val="both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        Разом:		291631,82</w:t>
            </w:r>
          </w:p>
        </w:tc>
      </w:tr>
      <w:tr>
        <w:trPr>
          <w:trHeight w:hRule="exact" w:val="277.8304"/>
        </w:trPr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59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59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29.3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Володимир ЧУБА</w:t>
            </w:r>
          </w:p>
        </w:tc>
        <w:tc>
          <w:tcPr>
            <w:tcW w:w="759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59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(керівник ССП)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698.8" w:type="dxa"/>
            <w:gridSpan w:val="5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Ірина МАЦУР</w:t>
            </w:r>
          </w:p>
        </w:tc>
        <w:tc>
          <w:tcPr>
            <w:tcW w:w="759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37.1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59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67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078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" 06 " жовтня 2020р.</w:t>
            </w:r>
          </w:p>
        </w:tc>
        <w:tc>
          <w:tcPr>
            <w:tcW w:w="1349.4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349.4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759.7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.9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166.886"/>
        </w:trPr>
        <w:tc>
          <w:tcPr>
            <w:tcW w:w="567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146" w:type="dxa"/>
          </w:tcPr>
          <w:p/>
        </w:tc>
        <w:tc>
          <w:tcPr>
            <w:tcW w:w="203" w:type="dxa"/>
          </w:tcPr>
          <w:p/>
        </w:tc>
        <w:tc>
          <w:tcPr>
            <w:tcW w:w="830" w:type="dxa"/>
          </w:tcPr>
          <w:p/>
        </w:tc>
        <w:tc>
          <w:tcPr>
            <w:tcW w:w="520" w:type="dxa"/>
          </w:tcPr>
          <w:p/>
        </w:tc>
        <w:tc>
          <w:tcPr>
            <w:tcW w:w="1349" w:type="dxa"/>
          </w:tcPr>
          <w:p/>
        </w:tc>
        <w:tc>
          <w:tcPr>
            <w:tcW w:w="298" w:type="dxa"/>
          </w:tcPr>
          <w:p/>
        </w:tc>
        <w:tc>
          <w:tcPr>
            <w:tcW w:w="805" w:type="dxa"/>
          </w:tcPr>
          <w:p/>
        </w:tc>
        <w:tc>
          <w:tcPr>
            <w:tcW w:w="246" w:type="dxa"/>
          </w:tcPr>
          <w:p/>
        </w:tc>
        <w:tc>
          <w:tcPr>
            <w:tcW w:w="1095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3" w:type="dxa"/>
          </w:tcPr>
          <w:p/>
        </w:tc>
      </w:tr>
      <w:tr>
        <w:trPr>
          <w:trHeight w:hRule="exact" w:val="7754.691"/>
        </w:trPr>
        <w:tc>
          <w:tcPr>
            <w:tcW w:w="567" w:type="dxa"/>
          </w:tcPr>
          <w:p/>
        </w:tc>
        <w:tc>
          <w:tcPr>
            <w:tcW w:w="992" w:type="dxa"/>
          </w:tcPr>
          <w:p/>
        </w:tc>
        <w:tc>
          <w:tcPr>
            <w:tcW w:w="737" w:type="dxa"/>
          </w:tcPr>
          <w:p/>
        </w:tc>
        <w:tc>
          <w:tcPr>
            <w:tcW w:w="1146" w:type="dxa"/>
          </w:tcPr>
          <w:p/>
        </w:tc>
        <w:tc>
          <w:tcPr>
            <w:tcW w:w="203" w:type="dxa"/>
          </w:tcPr>
          <w:p/>
        </w:tc>
        <w:tc>
          <w:tcPr>
            <w:tcW w:w="830" w:type="dxa"/>
          </w:tcPr>
          <w:p/>
        </w:tc>
        <w:tc>
          <w:tcPr>
            <w:tcW w:w="520" w:type="dxa"/>
          </w:tcPr>
          <w:p/>
        </w:tc>
        <w:tc>
          <w:tcPr>
            <w:tcW w:w="1349" w:type="dxa"/>
          </w:tcPr>
          <w:p/>
        </w:tc>
        <w:tc>
          <w:tcPr>
            <w:tcW w:w="298" w:type="dxa"/>
          </w:tcPr>
          <w:p/>
        </w:tc>
        <w:tc>
          <w:tcPr>
            <w:tcW w:w="805" w:type="dxa"/>
          </w:tcPr>
          <w:p/>
        </w:tc>
        <w:tc>
          <w:tcPr>
            <w:tcW w:w="246" w:type="dxa"/>
          </w:tcPr>
          <w:p/>
        </w:tc>
        <w:tc>
          <w:tcPr>
            <w:tcW w:w="1095" w:type="dxa"/>
          </w:tcPr>
          <w:p/>
        </w:tc>
        <w:tc>
          <w:tcPr>
            <w:tcW w:w="255" w:type="dxa"/>
          </w:tcPr>
          <w:p/>
        </w:tc>
        <w:tc>
          <w:tcPr>
            <w:tcW w:w="760" w:type="dxa"/>
          </w:tcPr>
          <w:p/>
        </w:tc>
        <w:tc>
          <w:tcPr>
            <w:tcW w:w="403" w:type="dxa"/>
          </w:tcPr>
          <w:p/>
        </w:tc>
      </w:tr>
      <w:tr>
        <w:trPr>
          <w:trHeight w:hRule="exact" w:val="277.8304"/>
        </w:trPr>
        <w:tc>
          <w:tcPr>
            <w:tcW w:w="3442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202000000021355841</w:t>
            </w:r>
          </w:p>
        </w:tc>
        <w:tc>
          <w:tcPr>
            <w:tcW w:w="1032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167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АС  " Є-ЗВІТНІСТЬ "</w:t>
            </w:r>
          </w:p>
        </w:tc>
        <w:tc>
          <w:tcPr>
            <w:tcW w:w="805.2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758.05" w:type="dxa"/>
            <w:gridSpan w:val="5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2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Form_f_d10</dc:title>
  <dc:creator>FastReport.NET</dc:creator>
</cp:coreProperties>
</file>